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56" w:rsidRPr="00FB362D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62D">
        <w:rPr>
          <w:rFonts w:ascii="Arial" w:hAnsi="Arial" w:cs="Arial"/>
          <w:b/>
          <w:sz w:val="20"/>
          <w:szCs w:val="20"/>
        </w:rPr>
        <w:t xml:space="preserve">Literatuursuggesties onderzoekslijn: </w:t>
      </w:r>
      <w:r w:rsidR="005A4707" w:rsidRPr="005A4707">
        <w:rPr>
          <w:rFonts w:ascii="Arial" w:hAnsi="Arial" w:cs="Arial"/>
          <w:b/>
          <w:sz w:val="20"/>
          <w:szCs w:val="20"/>
        </w:rPr>
        <w:t xml:space="preserve">Merkwaarde (Brand </w:t>
      </w:r>
      <w:proofErr w:type="spellStart"/>
      <w:r w:rsidR="005A4707" w:rsidRPr="005A4707">
        <w:rPr>
          <w:rFonts w:ascii="Arial" w:hAnsi="Arial" w:cs="Arial"/>
          <w:b/>
          <w:sz w:val="20"/>
          <w:szCs w:val="20"/>
        </w:rPr>
        <w:t>Equity</w:t>
      </w:r>
      <w:proofErr w:type="spellEnd"/>
      <w:r w:rsidR="005A4707" w:rsidRPr="005A4707">
        <w:rPr>
          <w:rFonts w:ascii="Arial" w:hAnsi="Arial" w:cs="Arial"/>
          <w:b/>
          <w:sz w:val="20"/>
          <w:szCs w:val="20"/>
        </w:rPr>
        <w:t>)</w:t>
      </w:r>
    </w:p>
    <w:p w:rsidR="00017856" w:rsidRPr="00FB362D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62D">
        <w:rPr>
          <w:rFonts w:ascii="Arial" w:hAnsi="Arial" w:cs="Arial"/>
          <w:b/>
          <w:sz w:val="20"/>
          <w:szCs w:val="20"/>
        </w:rPr>
        <w:t>Master in Marketing Management &amp; Master in Communication</w:t>
      </w:r>
    </w:p>
    <w:p w:rsidR="00017856" w:rsidRPr="00FB362D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362D">
        <w:rPr>
          <w:rFonts w:ascii="Arial" w:hAnsi="Arial" w:cs="Arial"/>
          <w:b/>
          <w:sz w:val="20"/>
          <w:szCs w:val="20"/>
        </w:rPr>
        <w:t xml:space="preserve">Lector dr. Herm Joosten </w:t>
      </w:r>
    </w:p>
    <w:p w:rsidR="005A4707" w:rsidRDefault="005A4707" w:rsidP="005A470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</w:rPr>
      </w:pP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bookmarkStart w:id="0" w:name="_GoBack"/>
      <w:bookmarkEnd w:id="0"/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Aaker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 A. (2009). Managing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Simon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Schuster.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Aaker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D.A., K.L. Keller (1990), ‘Consumer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Evaluations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54, (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January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), 27-41.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Aaker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D.A. (1995).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Developing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business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strategies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New York: John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Wiley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Inc.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Aaker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D.A. (1996).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Building strong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brands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 New York: The Free Press.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Albrecht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C.-M.,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Backhaus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C.,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Gurzki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H.,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Woisetschlager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D.M. (2013). Drivers of Brand </w:t>
      </w:r>
    </w:p>
    <w:p w:rsidR="005A4707" w:rsidRPr="005A4707" w:rsidRDefault="005A4707" w:rsidP="005A4707">
      <w:pPr>
        <w:spacing w:after="0" w:line="240" w:lineRule="auto"/>
        <w:ind w:left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Extension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Success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What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Really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Matters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for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Luxury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Brands.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Psychology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30 (8), 647–659.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Ambler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T. (2000),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Marketing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the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Bottom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Line: the new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metrics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of corporate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wealth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Prentice Hall, Pearson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Education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Aaker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 A. (1996).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Measuring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across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products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markets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California management review,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38(3), 103.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Aaker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D. A., &amp; Biel, A. (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.). (2013).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Brand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 &amp; Advertising: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Advertising's</w:t>
      </w:r>
      <w:proofErr w:type="spellEnd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role</w:t>
      </w:r>
      <w:proofErr w:type="spellEnd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 in building strong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brands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Psychology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Press.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Berry, L.L.,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Lefkowith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E.F., &amp; Clark, T. (1988). In services,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what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;’s in a name?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Harvard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business review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sept-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oct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., 28-30.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Berry, L. L. (2000).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Cultivating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service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Journal of the Academy of Marketing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Science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28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(1), 128-137.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Bhat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Reddy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S.K. (1998).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Symbolic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functional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positioning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brands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Journal of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ab/>
        <w:t>Consumer Marketing,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15 (1), 32-43.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Bhat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Reddy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S.K. (2001). The impact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parent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attribute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associations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affect on brand extension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evaluation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Business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53 (3), 111-122.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Blackston, M. (2000).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Observations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building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managing 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brand's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relationships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advertising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November/December.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Bottomley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P.A., &amp; Holden, S.J.S. (2001). Do We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Really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Know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How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Consumers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Evaluate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5A4707" w:rsidRPr="005A4707" w:rsidRDefault="005A4707" w:rsidP="005A4707">
      <w:pPr>
        <w:spacing w:after="0" w:line="240" w:lineRule="auto"/>
        <w:ind w:left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?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Empirical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Generalizations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Based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Secondary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Analysis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Eight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Studies. 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38 (4), 494-500.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Brandmeyer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K.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Deichsel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A. (1999).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De magie van het merk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. Alphen aan den Rijn: Samsom Bedrijfsinformatie.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Broeke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G.W., van den. (1998).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Corporate brand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values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Amsterdam: Vrije Universiteit Amsterdam.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Brown, T.J.,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Dacin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P.A. (1997) The company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the product: corporate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associations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consumer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product responses.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vol. 61, 68-84.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Baldinger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A.L.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Rubinson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J. (1996), ‘Brand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Loyalty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; the link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between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attitude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behavior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Advertising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36 (6), 22-34.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Biswas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Sherrell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(1993), ‘The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influence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Product Knowledge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Name 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internal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price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standards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confidence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Psychology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10 (1), 31-46.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Bottomley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P.A., S.J. Holden (2001), ‘Do We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Really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Know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How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Consumers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Evaluate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?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Empirical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Generalisations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Based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Secondary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Analysis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Eight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Studies’,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38, pp. 494-500.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Chan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S.P.,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Srinivasan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V. (1994). A survey-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based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method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for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measuring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understanding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extendibility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May 1994, 271-288.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Chernatony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L., de. (2001).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Would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a brand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smell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any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sweeter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by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a corporate name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? Birmingham: University of Birmingham.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Czellar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 (2003). Consumer attitude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toward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integrative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model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research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propositions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International Journal of Research in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20 (1), 97-115.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De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Chernatony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L.,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McDonald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M., &amp; Wallace, E. (2011). 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Creating</w:t>
      </w:r>
      <w:proofErr w:type="spellEnd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powerful</w:t>
      </w:r>
      <w:proofErr w:type="spellEnd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brands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Routledge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Farquhar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 H. (1989). Managing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1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(3), 24-33.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Feldwick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P. (1996), ‘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What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is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anyway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how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do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you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measure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?’,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the Market Research Society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38 (2), 85-104.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Franzen, G. en Goessens, C. (1998),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Merken &amp; Reclame: hoe reclame-effectiviteit brand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beïnvloedt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Kluwer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BedrijfsInformatie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Deventer.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Franzen, G.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Bouwman, M. (2001),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The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Mental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World of Brands: mind, memory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success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World Advertising Research Centre, UK.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Grime, I.,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Diamantopoulos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A., &amp; Smith, G. (2002). Consumer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evaluations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ab/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their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effects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on 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core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Key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issues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research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propositions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European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ab/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36 (11-12), 1415–1438.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lastRenderedPageBreak/>
        <w:t>Horsky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Swyngedouw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 (1987). Does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pay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to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change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your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company’s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name? A stock market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perspective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Marketingscience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vol. 6, no. 4, 320-335.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Kapferer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J.-N. (1995). Strategisch merkmanagement, over het eigen vermogen van merken. Schoonhoven: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Academic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Service.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Keller, K.L. (2002),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Strategic Brand Management: Building,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Measuring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Managing Brand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Upper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Saddle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River, Prentice Hall, New Jersey. Sec. ed.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Keller, K.L. (1993).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Conceptualizing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measuring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managing customer-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based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vol.57, 1-22.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Klink, R. R.,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Athaide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G. A. (2012).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Creating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personality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with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names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Marketing Letters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23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(1), 109-117.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Kohli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C.,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LaBahn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D.W. (1997).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Creating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effective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names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a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study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naming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process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Advertising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January-February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67-75.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Koku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P.S. (1997). Corporate name change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signaling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in the services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industry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The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of services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vol. 11, no. 6,  392-408.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Lane, V.R. ((2000), ‘The Impact of Ad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Repetition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Ad Content on Consumer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Perceptions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</w:t>
      </w:r>
    </w:p>
    <w:p w:rsidR="005A4707" w:rsidRPr="005A4707" w:rsidRDefault="005A4707" w:rsidP="005A4707">
      <w:pPr>
        <w:spacing w:after="0" w:line="240" w:lineRule="auto"/>
        <w:ind w:left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Incongruent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64, pp. 80-91.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Loken, B.,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Roedder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John, D. (1993).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Diluting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beliefs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When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do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ab/>
        <w:t xml:space="preserve">have a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negative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impact?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57 (3), 71-84.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Luna, D.,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Carnevale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M.,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Lerman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 (2013). Does brand spelling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influence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memory? The case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auditorily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presented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names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Journal of Consumer </w:t>
      </w:r>
      <w:proofErr w:type="spellStart"/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Psychology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23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(1), 36-48.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McCracken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J.C.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Macklin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M.C. (1998), ‘The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role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names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visual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cues in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enhancing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memory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for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consumer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packaged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goods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Marketing Letters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9 (2), 209-226.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Melnyk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V., Klein, K.,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Völckner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F. (2012). The double-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edged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sword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foreign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names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for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companies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from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emerging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countries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Journal of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76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(6), 21-37.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Netemeyer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R.,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Krishnan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B.,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Pullig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C., Wang, G.,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Yagci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M., Dean, D., … Wirth, F. (2004).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ab/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Developing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validating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measures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facets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customer-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based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Journal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ab/>
        <w:t>of Business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57 (2), 209-224.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Olins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W. (1990).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Corporate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identity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 Utrecht: Veen.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Pappu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R.,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Quester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P.G.,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Cooksey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R.W. (2006). Consumer-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based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ab/>
        <w:t>country-of-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origin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relationships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 European Journal of Marketing, 40 (5-6), 696-717.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Pitta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D.A.,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Katsanis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L.P. (1995). Understanding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for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successful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ab/>
        <w:t>extension.  Journal of Consumer Marketing, 12 (4), 51-64.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Reddy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Holak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Bhat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(1994), ‘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To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not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to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Succes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Determinants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Line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Extensions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31, 243-262.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Ries, A., &amp; Trout, J. (1981).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Positionering: de marktstrijd om een plekje in het brein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Alphen aan den Rijn: Samsom.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Riezebos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H.J. &amp; Snellen, M.W.P.M. (1993).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Brand name changes, management report series no. 149,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Rotterdam: Rotterdam School of management.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Riezebos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H.J. (1994).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Brand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added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value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;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theory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empirical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research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about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the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value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of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brands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to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consumers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Delft: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Eburon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Riezebos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H.J. (1995) Strategische aspecten van de merknaam.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Tijdschrift voor marketing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mei, 14-17.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Riezebos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H.J. (1996).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Merkenmanagement: theorie en toepassing van het ontwikkelen, beheren en beschermen van merken en merkenportfolio’s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. Groningen: Wolters Noordhoff.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Rust, R.T.,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Zeithaml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V.A., &amp; Lemon, K.N. (2004). Customer-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centered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management. 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ab/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Harvard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Business Review, 82 (9), 110-118.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Sood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S., &amp; Keller, K. L. (2012). 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effects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brand name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structure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on brand extension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evaluations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parent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dilution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. 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Journal of 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</w:t>
      </w:r>
      <w:r w:rsidRPr="005A4707">
        <w:rPr>
          <w:rFonts w:ascii="Arial" w:eastAsia="SimSun" w:hAnsi="Arial" w:cs="Arial"/>
          <w:i/>
          <w:iCs/>
          <w:sz w:val="20"/>
          <w:szCs w:val="20"/>
          <w:lang w:eastAsia="zh-CN"/>
        </w:rPr>
        <w:t>49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(3), 373-382.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Szybillo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G.J.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Jacoby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J. (1974), ‘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Intrinsic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versus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extrinsic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cues as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determinants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perceived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product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quality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Journal of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Applied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Psychology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59 (1).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Taylor, S.A.,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Celuch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K., &amp;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Goodwin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 (2004). 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importance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of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to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customer 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ab/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loyalty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Journal of Product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Brand Management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13 (4), 217-227.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Teas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R.K.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Grapentine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T.H. (1996), ‘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Demystifying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framework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guides</w:t>
      </w:r>
    </w:p>
    <w:p w:rsidR="005A4707" w:rsidRPr="005A4707" w:rsidRDefault="005A4707" w:rsidP="005A4707">
      <w:pPr>
        <w:spacing w:after="0" w:line="240" w:lineRule="auto"/>
        <w:ind w:left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research on the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role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brands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play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in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purchase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decisions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’,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Journal of Marketing Research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>, 8 (2).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Turley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L.W., &amp; Moore, P.A. (1995). Brand name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strategies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in the service sector.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Journal of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consumer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 marketing,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vol.12, no. 4, 42-50.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Wood, L. (2000). Brands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: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definition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management.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Management 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ab/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Decision</w:t>
      </w:r>
      <w:proofErr w:type="spellEnd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,</w:t>
      </w: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38 (9), 662-669.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Yoo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B., N.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Donthu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, S. Lee (2000), ‘An Examination of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Selected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Marketing Mix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Elements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and</w:t>
      </w:r>
      <w:proofErr w:type="spellEnd"/>
    </w:p>
    <w:p w:rsidR="005A4707" w:rsidRPr="005A4707" w:rsidRDefault="005A4707" w:rsidP="005A4707">
      <w:pPr>
        <w:spacing w:after="0" w:line="240" w:lineRule="auto"/>
        <w:ind w:left="425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A4707">
        <w:rPr>
          <w:rFonts w:ascii="Arial" w:eastAsia="SimSun" w:hAnsi="Arial" w:cs="Arial"/>
          <w:sz w:val="20"/>
          <w:szCs w:val="20"/>
          <w:lang w:eastAsia="zh-CN"/>
        </w:rPr>
        <w:t xml:space="preserve">Brand </w:t>
      </w:r>
      <w:proofErr w:type="spellStart"/>
      <w:r w:rsidRPr="005A4707">
        <w:rPr>
          <w:rFonts w:ascii="Arial" w:eastAsia="SimSun" w:hAnsi="Arial" w:cs="Arial"/>
          <w:sz w:val="20"/>
          <w:szCs w:val="20"/>
          <w:lang w:eastAsia="zh-CN"/>
        </w:rPr>
        <w:t>Equity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’</w:t>
      </w:r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 xml:space="preserve">, Journal of the Academy of Marketing </w:t>
      </w:r>
      <w:proofErr w:type="spellStart"/>
      <w:r w:rsidRPr="005A4707">
        <w:rPr>
          <w:rFonts w:ascii="Arial" w:eastAsia="SimSun" w:hAnsi="Arial" w:cs="Arial"/>
          <w:i/>
          <w:sz w:val="20"/>
          <w:szCs w:val="20"/>
          <w:lang w:eastAsia="zh-CN"/>
        </w:rPr>
        <w:t>Science</w:t>
      </w:r>
      <w:proofErr w:type="spellEnd"/>
      <w:r w:rsidRPr="005A4707">
        <w:rPr>
          <w:rFonts w:ascii="Arial" w:eastAsia="SimSun" w:hAnsi="Arial" w:cs="Arial"/>
          <w:sz w:val="20"/>
          <w:szCs w:val="20"/>
          <w:lang w:eastAsia="zh-CN"/>
        </w:rPr>
        <w:t>, 28 (2), 195-211.</w:t>
      </w: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A4707" w:rsidRPr="005A4707" w:rsidRDefault="005A4707" w:rsidP="005A4707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FB362D" w:rsidRPr="00FB362D" w:rsidRDefault="00FB362D" w:rsidP="00FB362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FB362D" w:rsidRPr="00FB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6"/>
    <w:rsid w:val="00017856"/>
    <w:rsid w:val="005A4707"/>
    <w:rsid w:val="005D7420"/>
    <w:rsid w:val="00CC4DCD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E5FA-E109-491C-873D-6EA7AB8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8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2014-12-03T14:42:00Z</dcterms:created>
  <dcterms:modified xsi:type="dcterms:W3CDTF">2014-12-03T14:42:00Z</dcterms:modified>
</cp:coreProperties>
</file>